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1EF7CD" w14:textId="6FEF48AA" w:rsidR="00A737BE" w:rsidRPr="00A737BE" w:rsidRDefault="00A737BE" w:rsidP="00A737BE">
      <w:pPr>
        <w:pBdr>
          <w:bottom w:val="single" w:sz="6" w:space="1" w:color="auto"/>
        </w:pBdr>
        <w:jc w:val="center"/>
        <w:rPr>
          <w:rFonts w:asciiTheme="minorHAnsi" w:hAnsiTheme="minorHAnsi" w:cstheme="minorHAnsi"/>
          <w:b/>
          <w:sz w:val="32"/>
          <w:szCs w:val="32"/>
        </w:rPr>
      </w:pPr>
      <w:r>
        <w:rPr>
          <w:rFonts w:asciiTheme="minorHAnsi" w:hAnsiTheme="minorHAnsi" w:cstheme="minorHAnsi"/>
          <w:b/>
          <w:sz w:val="32"/>
          <w:szCs w:val="32"/>
        </w:rPr>
        <w:t xml:space="preserve">CMM </w:t>
      </w:r>
      <w:r w:rsidRPr="00A737BE">
        <w:rPr>
          <w:rFonts w:asciiTheme="minorHAnsi" w:hAnsiTheme="minorHAnsi" w:cstheme="minorHAnsi"/>
          <w:b/>
          <w:sz w:val="32"/>
          <w:szCs w:val="32"/>
        </w:rPr>
        <w:t>Workflow</w:t>
      </w:r>
      <w:r w:rsidRPr="00A737BE">
        <w:rPr>
          <w:rFonts w:asciiTheme="minorHAnsi" w:hAnsiTheme="minorHAnsi" w:cstheme="minorHAnsi"/>
          <w:b/>
          <w:sz w:val="32"/>
          <w:szCs w:val="32"/>
        </w:rPr>
        <w:t xml:space="preserve"> Example</w:t>
      </w:r>
    </w:p>
    <w:p w14:paraId="1A7CC93D" w14:textId="77777777" w:rsidR="00A737BE" w:rsidRPr="00A737BE" w:rsidRDefault="00A737BE" w:rsidP="00A737BE">
      <w:pPr>
        <w:pBdr>
          <w:bottom w:val="single" w:sz="6" w:space="1" w:color="auto"/>
        </w:pBdr>
        <w:jc w:val="center"/>
        <w:rPr>
          <w:rFonts w:asciiTheme="minorHAnsi" w:hAnsiTheme="minorHAnsi" w:cstheme="minorHAnsi"/>
          <w:b/>
          <w:sz w:val="24"/>
          <w:szCs w:val="24"/>
        </w:rPr>
      </w:pPr>
    </w:p>
    <w:p w14:paraId="2B9DB81B" w14:textId="77777777" w:rsidR="00A737BE" w:rsidRPr="00A737BE" w:rsidRDefault="00A737BE" w:rsidP="007A6C22">
      <w:pPr>
        <w:pStyle w:val="Heading2"/>
        <w:jc w:val="center"/>
        <w:rPr>
          <w:rFonts w:asciiTheme="minorHAnsi" w:hAnsiTheme="minorHAnsi" w:cstheme="minorHAnsi"/>
          <w:highlight w:val="yellow"/>
        </w:rPr>
      </w:pPr>
    </w:p>
    <w:p w14:paraId="25AD57C8" w14:textId="5201D6E4" w:rsidR="007A6C22" w:rsidRPr="00A737BE" w:rsidRDefault="00815F6F" w:rsidP="007A6C22">
      <w:pPr>
        <w:pStyle w:val="Heading2"/>
        <w:jc w:val="center"/>
        <w:rPr>
          <w:rFonts w:asciiTheme="minorHAnsi" w:hAnsiTheme="minorHAnsi" w:cstheme="minorHAnsi"/>
        </w:rPr>
      </w:pPr>
      <w:r w:rsidRPr="00A737BE">
        <w:rPr>
          <w:rFonts w:asciiTheme="minorHAnsi" w:hAnsiTheme="minorHAnsi" w:cstheme="minorHAnsi"/>
          <w:highlight w:val="yellow"/>
        </w:rPr>
        <w:t>CLINIC NAME</w:t>
      </w:r>
    </w:p>
    <w:p w14:paraId="33132BF4" w14:textId="163FE0B7" w:rsidR="007A6C22" w:rsidRPr="00A737BE" w:rsidRDefault="00A737BE" w:rsidP="007A6C22">
      <w:pPr>
        <w:pStyle w:val="Heading1"/>
        <w:jc w:val="center"/>
        <w:rPr>
          <w:rFonts w:asciiTheme="minorHAnsi" w:hAnsiTheme="minorHAnsi" w:cstheme="minorHAnsi"/>
        </w:rPr>
      </w:pPr>
      <w:r>
        <w:rPr>
          <w:rFonts w:asciiTheme="minorHAnsi" w:hAnsiTheme="minorHAnsi" w:cstheme="minorHAnsi"/>
        </w:rPr>
        <w:t xml:space="preserve">Workflow for </w:t>
      </w:r>
      <w:r w:rsidR="00C83FE2" w:rsidRPr="00A737BE">
        <w:rPr>
          <w:rFonts w:asciiTheme="minorHAnsi" w:hAnsiTheme="minorHAnsi" w:cstheme="minorHAnsi"/>
        </w:rPr>
        <w:t>Wellness Assistant</w:t>
      </w:r>
    </w:p>
    <w:p w14:paraId="4B487D27" w14:textId="77777777" w:rsidR="007A6C22" w:rsidRPr="00A737BE" w:rsidRDefault="007A6C22">
      <w:pPr>
        <w:rPr>
          <w:rFonts w:asciiTheme="minorHAnsi" w:hAnsiTheme="minorHAnsi" w:cstheme="minorHAnsi"/>
        </w:rPr>
      </w:pPr>
    </w:p>
    <w:tbl>
      <w:tblPr>
        <w:tblStyle w:val="TableGrid"/>
        <w:tblW w:w="5000" w:type="pct"/>
        <w:tblLook w:val="04A0" w:firstRow="1" w:lastRow="0" w:firstColumn="1" w:lastColumn="0" w:noHBand="0" w:noVBand="1"/>
      </w:tblPr>
      <w:tblGrid>
        <w:gridCol w:w="2190"/>
        <w:gridCol w:w="7160"/>
      </w:tblGrid>
      <w:tr w:rsidR="00AA3436" w:rsidRPr="00A737BE" w14:paraId="152CD29B" w14:textId="77777777" w:rsidTr="00B90783">
        <w:trPr>
          <w:trHeight w:val="530"/>
        </w:trPr>
        <w:tc>
          <w:tcPr>
            <w:tcW w:w="1171" w:type="pct"/>
            <w:vAlign w:val="center"/>
          </w:tcPr>
          <w:p w14:paraId="417FE918" w14:textId="77FFCAAB" w:rsidR="00AA3436" w:rsidRPr="00A737BE" w:rsidRDefault="00AA3436" w:rsidP="00704494">
            <w:pPr>
              <w:tabs>
                <w:tab w:val="num" w:pos="720"/>
              </w:tabs>
              <w:jc w:val="center"/>
              <w:rPr>
                <w:rFonts w:asciiTheme="minorHAnsi" w:hAnsiTheme="minorHAnsi" w:cstheme="minorHAnsi"/>
                <w:b/>
                <w:bCs/>
                <w:color w:val="4472C4" w:themeColor="accent1"/>
                <w:sz w:val="24"/>
                <w:szCs w:val="24"/>
              </w:rPr>
            </w:pPr>
          </w:p>
        </w:tc>
        <w:tc>
          <w:tcPr>
            <w:tcW w:w="3829" w:type="pct"/>
            <w:vAlign w:val="center"/>
          </w:tcPr>
          <w:p w14:paraId="631E1C34" w14:textId="2B31F7E6" w:rsidR="00AA3436" w:rsidRPr="00A737BE" w:rsidRDefault="00B90783" w:rsidP="00AA3436">
            <w:pPr>
              <w:tabs>
                <w:tab w:val="num" w:pos="720"/>
              </w:tabs>
              <w:jc w:val="center"/>
              <w:rPr>
                <w:rFonts w:asciiTheme="minorHAnsi" w:hAnsiTheme="minorHAnsi" w:cstheme="minorHAnsi"/>
                <w:b/>
                <w:bCs/>
                <w:color w:val="4472C4" w:themeColor="accent1"/>
                <w:sz w:val="24"/>
                <w:szCs w:val="24"/>
              </w:rPr>
            </w:pPr>
            <w:r w:rsidRPr="00A737BE">
              <w:rPr>
                <w:rFonts w:asciiTheme="minorHAnsi" w:hAnsiTheme="minorHAnsi" w:cstheme="minorHAnsi"/>
                <w:b/>
                <w:bCs/>
                <w:color w:val="4472C4" w:themeColor="accent1"/>
                <w:sz w:val="24"/>
                <w:szCs w:val="24"/>
              </w:rPr>
              <w:t>Workflow Steps</w:t>
            </w:r>
          </w:p>
        </w:tc>
      </w:tr>
      <w:tr w:rsidR="004A71C0" w:rsidRPr="00A737BE" w14:paraId="15471EB1" w14:textId="77777777" w:rsidTr="004A71C0">
        <w:trPr>
          <w:trHeight w:val="2510"/>
        </w:trPr>
        <w:tc>
          <w:tcPr>
            <w:tcW w:w="1171" w:type="pct"/>
            <w:vMerge w:val="restart"/>
          </w:tcPr>
          <w:p w14:paraId="1E8B40CD" w14:textId="2F55FAEF" w:rsidR="004A71C0" w:rsidRPr="00A737BE" w:rsidRDefault="004A71C0" w:rsidP="00AF6EFD">
            <w:pPr>
              <w:rPr>
                <w:rFonts w:asciiTheme="minorHAnsi" w:hAnsiTheme="minorHAnsi" w:cstheme="minorHAnsi"/>
                <w:b/>
                <w:bCs/>
                <w:sz w:val="28"/>
                <w:szCs w:val="32"/>
              </w:rPr>
            </w:pPr>
            <w:r w:rsidRPr="00A737BE">
              <w:rPr>
                <w:rFonts w:asciiTheme="minorHAnsi" w:hAnsiTheme="minorHAnsi" w:cstheme="minorHAnsi"/>
                <w:b/>
                <w:bCs/>
                <w:sz w:val="28"/>
                <w:szCs w:val="32"/>
              </w:rPr>
              <w:t xml:space="preserve">Before the Telepharmacy Visit </w:t>
            </w:r>
          </w:p>
          <w:p w14:paraId="79736CA6" w14:textId="77777777" w:rsidR="004A71C0" w:rsidRPr="00A737BE" w:rsidRDefault="004A71C0" w:rsidP="00AF6EFD">
            <w:pPr>
              <w:rPr>
                <w:rFonts w:asciiTheme="minorHAnsi" w:hAnsiTheme="minorHAnsi" w:cstheme="minorHAnsi"/>
                <w:b/>
                <w:bCs/>
                <w:sz w:val="32"/>
                <w:szCs w:val="32"/>
              </w:rPr>
            </w:pPr>
          </w:p>
          <w:p w14:paraId="160334A8" w14:textId="5F41C6C5" w:rsidR="004A71C0" w:rsidRPr="00A737BE" w:rsidRDefault="004A71C0" w:rsidP="00AF6EFD">
            <w:pPr>
              <w:rPr>
                <w:rFonts w:asciiTheme="minorHAnsi" w:hAnsiTheme="minorHAnsi" w:cstheme="minorHAnsi"/>
                <w:b/>
                <w:bCs/>
                <w:sz w:val="32"/>
                <w:szCs w:val="32"/>
              </w:rPr>
            </w:pPr>
          </w:p>
        </w:tc>
        <w:tc>
          <w:tcPr>
            <w:tcW w:w="3829" w:type="pct"/>
          </w:tcPr>
          <w:p w14:paraId="45EDBA62" w14:textId="7F5E2983" w:rsidR="004A71C0" w:rsidRDefault="004A71C0" w:rsidP="004A71C0">
            <w:pPr>
              <w:pStyle w:val="ListParagraph"/>
              <w:numPr>
                <w:ilvl w:val="0"/>
                <w:numId w:val="13"/>
              </w:numPr>
              <w:rPr>
                <w:rFonts w:asciiTheme="minorHAnsi" w:hAnsiTheme="minorHAnsi" w:cstheme="minorHAnsi"/>
                <w:sz w:val="24"/>
                <w:szCs w:val="24"/>
              </w:rPr>
            </w:pPr>
            <w:r w:rsidRPr="00A737BE">
              <w:rPr>
                <w:rFonts w:asciiTheme="minorHAnsi" w:hAnsiTheme="minorHAnsi" w:cstheme="minorHAnsi"/>
                <w:sz w:val="24"/>
                <w:szCs w:val="24"/>
              </w:rPr>
              <w:t xml:space="preserve">Use the spreadsheet from </w:t>
            </w:r>
            <w:r w:rsidR="00815F6F" w:rsidRPr="00A737BE">
              <w:rPr>
                <w:rFonts w:asciiTheme="minorHAnsi" w:hAnsiTheme="minorHAnsi" w:cstheme="minorHAnsi"/>
                <w:sz w:val="24"/>
                <w:szCs w:val="24"/>
                <w:highlight w:val="yellow"/>
              </w:rPr>
              <w:t>XX</w:t>
            </w:r>
            <w:r w:rsidRPr="00A737BE">
              <w:rPr>
                <w:rFonts w:asciiTheme="minorHAnsi" w:hAnsiTheme="minorHAnsi" w:cstheme="minorHAnsi"/>
                <w:sz w:val="24"/>
                <w:szCs w:val="24"/>
              </w:rPr>
              <w:t xml:space="preserve"> to call patient about the pharmacy service</w:t>
            </w:r>
            <w:r w:rsidR="00F45C8D" w:rsidRPr="00A737BE">
              <w:rPr>
                <w:rFonts w:asciiTheme="minorHAnsi" w:hAnsiTheme="minorHAnsi" w:cstheme="minorHAnsi"/>
                <w:sz w:val="24"/>
                <w:szCs w:val="24"/>
              </w:rPr>
              <w:t>.</w:t>
            </w:r>
          </w:p>
          <w:p w14:paraId="5A6B8B96" w14:textId="77777777" w:rsidR="00A737BE" w:rsidRPr="00A737BE" w:rsidRDefault="00A737BE" w:rsidP="00A737BE">
            <w:pPr>
              <w:pStyle w:val="ListParagraph"/>
              <w:ind w:left="360"/>
              <w:rPr>
                <w:rFonts w:asciiTheme="minorHAnsi" w:hAnsiTheme="minorHAnsi" w:cstheme="minorHAnsi"/>
                <w:sz w:val="24"/>
                <w:szCs w:val="24"/>
              </w:rPr>
            </w:pPr>
          </w:p>
          <w:p w14:paraId="5191BA29" w14:textId="0E7CEC13" w:rsidR="004A71C0" w:rsidRPr="00A737BE" w:rsidRDefault="004A71C0" w:rsidP="00A737BE">
            <w:pPr>
              <w:pStyle w:val="ListParagraph"/>
              <w:numPr>
                <w:ilvl w:val="0"/>
                <w:numId w:val="13"/>
              </w:numPr>
              <w:spacing w:after="60"/>
              <w:contextualSpacing w:val="0"/>
              <w:rPr>
                <w:rFonts w:asciiTheme="minorHAnsi" w:hAnsiTheme="minorHAnsi" w:cstheme="minorHAnsi"/>
                <w:sz w:val="24"/>
                <w:szCs w:val="24"/>
              </w:rPr>
            </w:pPr>
            <w:r w:rsidRPr="00A737BE">
              <w:rPr>
                <w:rFonts w:asciiTheme="minorHAnsi" w:hAnsiTheme="minorHAnsi" w:cstheme="minorHAnsi"/>
                <w:sz w:val="24"/>
                <w:szCs w:val="24"/>
              </w:rPr>
              <w:t xml:space="preserve">Call the patient: </w:t>
            </w:r>
          </w:p>
          <w:p w14:paraId="6987D9ED" w14:textId="175EC683" w:rsidR="004A71C0" w:rsidRPr="00A737BE" w:rsidRDefault="004A71C0" w:rsidP="00AA3436">
            <w:pPr>
              <w:pStyle w:val="ListParagraph"/>
              <w:numPr>
                <w:ilvl w:val="0"/>
                <w:numId w:val="16"/>
              </w:numPr>
              <w:rPr>
                <w:rFonts w:asciiTheme="minorHAnsi" w:hAnsiTheme="minorHAnsi" w:cstheme="minorHAnsi"/>
                <w:sz w:val="24"/>
                <w:szCs w:val="24"/>
              </w:rPr>
            </w:pPr>
            <w:r w:rsidRPr="00A737BE">
              <w:rPr>
                <w:rFonts w:asciiTheme="minorHAnsi" w:hAnsiTheme="minorHAnsi" w:cstheme="minorHAnsi"/>
                <w:sz w:val="24"/>
                <w:szCs w:val="24"/>
              </w:rPr>
              <w:t>Read the telepharmacy introduction script:</w:t>
            </w:r>
          </w:p>
          <w:p w14:paraId="62FA00C9" w14:textId="77777777" w:rsidR="004A71C0" w:rsidRPr="00A737BE" w:rsidRDefault="004A71C0" w:rsidP="00B90783">
            <w:pPr>
              <w:pStyle w:val="ListParagraph"/>
              <w:numPr>
                <w:ilvl w:val="0"/>
                <w:numId w:val="21"/>
              </w:numPr>
              <w:rPr>
                <w:rFonts w:asciiTheme="minorHAnsi" w:hAnsiTheme="minorHAnsi" w:cstheme="minorHAnsi"/>
                <w:sz w:val="24"/>
                <w:szCs w:val="24"/>
              </w:rPr>
            </w:pPr>
            <w:r w:rsidRPr="00A737BE">
              <w:rPr>
                <w:rFonts w:asciiTheme="minorHAnsi" w:hAnsiTheme="minorHAnsi" w:cstheme="minorHAnsi"/>
                <w:sz w:val="24"/>
                <w:szCs w:val="24"/>
              </w:rPr>
              <w:t>We have a new, free service for patients with diabetes that we want to offer you!</w:t>
            </w:r>
          </w:p>
          <w:p w14:paraId="3CF31502" w14:textId="111A1840" w:rsidR="004A71C0" w:rsidRPr="00A737BE" w:rsidRDefault="004A71C0" w:rsidP="00B90783">
            <w:pPr>
              <w:pStyle w:val="ListParagraph"/>
              <w:numPr>
                <w:ilvl w:val="0"/>
                <w:numId w:val="21"/>
              </w:numPr>
              <w:rPr>
                <w:rFonts w:asciiTheme="minorHAnsi" w:hAnsiTheme="minorHAnsi" w:cstheme="minorHAnsi"/>
                <w:sz w:val="24"/>
                <w:szCs w:val="24"/>
              </w:rPr>
            </w:pPr>
            <w:r w:rsidRPr="00A737BE">
              <w:rPr>
                <w:rFonts w:asciiTheme="minorHAnsi" w:hAnsiTheme="minorHAnsi" w:cstheme="minorHAnsi"/>
                <w:sz w:val="24"/>
                <w:szCs w:val="24"/>
                <w:highlight w:val="yellow"/>
              </w:rPr>
              <w:t>{provider name}</w:t>
            </w:r>
            <w:r w:rsidRPr="00A737BE">
              <w:rPr>
                <w:rFonts w:asciiTheme="minorHAnsi" w:hAnsiTheme="minorHAnsi" w:cstheme="minorHAnsi"/>
                <w:sz w:val="24"/>
                <w:szCs w:val="24"/>
              </w:rPr>
              <w:t xml:space="preserve"> is looking at ways to optimize your health, increase your quality of life and achieve your health goals and want you to speak with our pharmacist. The pharmacist specializes in diabetes and medications and is different from the pharmacist that gives you your medication. </w:t>
            </w:r>
          </w:p>
          <w:p w14:paraId="36374DE8" w14:textId="4C629D00" w:rsidR="004A71C0" w:rsidRPr="00A737BE" w:rsidRDefault="004A71C0" w:rsidP="00B90783">
            <w:pPr>
              <w:pStyle w:val="ListParagraph"/>
              <w:numPr>
                <w:ilvl w:val="0"/>
                <w:numId w:val="21"/>
              </w:numPr>
              <w:rPr>
                <w:rFonts w:asciiTheme="minorHAnsi" w:hAnsiTheme="minorHAnsi" w:cstheme="minorHAnsi"/>
                <w:sz w:val="24"/>
                <w:szCs w:val="24"/>
              </w:rPr>
            </w:pPr>
            <w:r w:rsidRPr="00A737BE">
              <w:rPr>
                <w:rFonts w:asciiTheme="minorHAnsi" w:hAnsiTheme="minorHAnsi" w:cstheme="minorHAnsi"/>
                <w:sz w:val="24"/>
                <w:szCs w:val="24"/>
              </w:rPr>
              <w:t xml:space="preserve">This pharmacist will review your medications and health information before the visit and speak with you about all your medications. You can talk with the pharmacist, by </w:t>
            </w:r>
            <w:r w:rsidR="00774E7A" w:rsidRPr="00A737BE">
              <w:rPr>
                <w:rFonts w:asciiTheme="minorHAnsi" w:hAnsiTheme="minorHAnsi" w:cstheme="minorHAnsi"/>
                <w:sz w:val="24"/>
                <w:szCs w:val="24"/>
              </w:rPr>
              <w:t xml:space="preserve">phone or by </w:t>
            </w:r>
            <w:r w:rsidRPr="00A737BE">
              <w:rPr>
                <w:rFonts w:asciiTheme="minorHAnsi" w:hAnsiTheme="minorHAnsi" w:cstheme="minorHAnsi"/>
                <w:sz w:val="24"/>
                <w:szCs w:val="24"/>
              </w:rPr>
              <w:t>video on your computer or smart phone</w:t>
            </w:r>
            <w:r w:rsidR="00774E7A" w:rsidRPr="00A737BE">
              <w:rPr>
                <w:rFonts w:asciiTheme="minorHAnsi" w:hAnsiTheme="minorHAnsi" w:cstheme="minorHAnsi"/>
                <w:sz w:val="24"/>
                <w:szCs w:val="24"/>
              </w:rPr>
              <w:t xml:space="preserve">. </w:t>
            </w:r>
            <w:r w:rsidRPr="00A737BE">
              <w:rPr>
                <w:rFonts w:asciiTheme="minorHAnsi" w:hAnsiTheme="minorHAnsi" w:cstheme="minorHAnsi"/>
                <w:sz w:val="24"/>
                <w:szCs w:val="24"/>
              </w:rPr>
              <w:t xml:space="preserve">The pharmacist will answer any questions you have about your medications and help you with your diabetes. </w:t>
            </w:r>
          </w:p>
          <w:p w14:paraId="66687D56" w14:textId="3121049A" w:rsidR="004A71C0" w:rsidRPr="00A737BE" w:rsidRDefault="004A71C0" w:rsidP="00A737BE">
            <w:pPr>
              <w:pStyle w:val="ListParagraph"/>
              <w:numPr>
                <w:ilvl w:val="0"/>
                <w:numId w:val="21"/>
              </w:numPr>
              <w:spacing w:after="60"/>
              <w:contextualSpacing w:val="0"/>
              <w:rPr>
                <w:rFonts w:asciiTheme="minorHAnsi" w:hAnsiTheme="minorHAnsi" w:cstheme="minorHAnsi"/>
                <w:sz w:val="24"/>
                <w:szCs w:val="24"/>
              </w:rPr>
            </w:pPr>
            <w:r w:rsidRPr="00A737BE">
              <w:rPr>
                <w:rFonts w:asciiTheme="minorHAnsi" w:hAnsiTheme="minorHAnsi" w:cstheme="minorHAnsi"/>
                <w:sz w:val="24"/>
                <w:szCs w:val="24"/>
              </w:rPr>
              <w:t xml:space="preserve">The pharmacist is working with {provider name} as a team to make sure your medications are working the way they need to for you. </w:t>
            </w:r>
          </w:p>
          <w:p w14:paraId="6F82BF5C" w14:textId="1CAAC0F1" w:rsidR="004A71C0" w:rsidRPr="00A737BE" w:rsidRDefault="004A71C0" w:rsidP="00A737BE">
            <w:pPr>
              <w:pStyle w:val="ListParagraph"/>
              <w:numPr>
                <w:ilvl w:val="0"/>
                <w:numId w:val="16"/>
              </w:numPr>
              <w:spacing w:after="60"/>
              <w:contextualSpacing w:val="0"/>
              <w:rPr>
                <w:rFonts w:asciiTheme="minorHAnsi" w:hAnsiTheme="minorHAnsi" w:cstheme="minorHAnsi"/>
                <w:sz w:val="24"/>
                <w:szCs w:val="24"/>
              </w:rPr>
            </w:pPr>
            <w:r w:rsidRPr="00A737BE">
              <w:rPr>
                <w:rFonts w:asciiTheme="minorHAnsi" w:hAnsiTheme="minorHAnsi" w:cstheme="minorHAnsi"/>
                <w:sz w:val="24"/>
                <w:szCs w:val="24"/>
              </w:rPr>
              <w:t>Use the flyer/brochure as needed</w:t>
            </w:r>
            <w:r w:rsidR="00F45C8D" w:rsidRPr="00A737BE">
              <w:rPr>
                <w:rFonts w:asciiTheme="minorHAnsi" w:hAnsiTheme="minorHAnsi" w:cstheme="minorHAnsi"/>
                <w:sz w:val="24"/>
                <w:szCs w:val="24"/>
              </w:rPr>
              <w:t>.</w:t>
            </w:r>
          </w:p>
          <w:p w14:paraId="461B8788" w14:textId="57E1C7C1" w:rsidR="004A71C0" w:rsidRPr="00A737BE" w:rsidRDefault="004A71C0" w:rsidP="00B90783">
            <w:pPr>
              <w:pStyle w:val="ListParagraph"/>
              <w:numPr>
                <w:ilvl w:val="0"/>
                <w:numId w:val="16"/>
              </w:numPr>
              <w:rPr>
                <w:rFonts w:asciiTheme="minorHAnsi" w:hAnsiTheme="minorHAnsi" w:cstheme="minorHAnsi"/>
                <w:sz w:val="24"/>
                <w:szCs w:val="24"/>
              </w:rPr>
            </w:pPr>
            <w:r w:rsidRPr="00A737BE">
              <w:rPr>
                <w:rFonts w:asciiTheme="minorHAnsi" w:hAnsiTheme="minorHAnsi" w:cstheme="minorHAnsi"/>
                <w:sz w:val="24"/>
                <w:szCs w:val="24"/>
              </w:rPr>
              <w:t xml:space="preserve">Ask: How does this sound? Is this something you’d be interested in? </w:t>
            </w:r>
          </w:p>
          <w:p w14:paraId="0BB90AA9" w14:textId="0B655ED7" w:rsidR="004A71C0" w:rsidRPr="00A737BE" w:rsidRDefault="004A71C0" w:rsidP="00B90783">
            <w:pPr>
              <w:pStyle w:val="ListParagraph"/>
              <w:numPr>
                <w:ilvl w:val="0"/>
                <w:numId w:val="22"/>
              </w:numPr>
              <w:ind w:left="1115"/>
              <w:rPr>
                <w:rFonts w:asciiTheme="minorHAnsi" w:hAnsiTheme="minorHAnsi" w:cstheme="minorHAnsi"/>
                <w:sz w:val="24"/>
                <w:szCs w:val="24"/>
              </w:rPr>
            </w:pPr>
            <w:r w:rsidRPr="00A737BE">
              <w:rPr>
                <w:rFonts w:asciiTheme="minorHAnsi" w:hAnsiTheme="minorHAnsi" w:cstheme="minorHAnsi"/>
                <w:sz w:val="24"/>
                <w:szCs w:val="24"/>
              </w:rPr>
              <w:t>If yes</w:t>
            </w:r>
            <w:r w:rsidR="00A737BE">
              <w:rPr>
                <w:rFonts w:asciiTheme="minorHAnsi" w:hAnsiTheme="minorHAnsi" w:cstheme="minorHAnsi"/>
                <w:sz w:val="24"/>
                <w:szCs w:val="24"/>
              </w:rPr>
              <w:t xml:space="preserve"> –</w:t>
            </w:r>
            <w:r w:rsidRPr="00A737BE">
              <w:rPr>
                <w:rFonts w:asciiTheme="minorHAnsi" w:hAnsiTheme="minorHAnsi" w:cstheme="minorHAnsi"/>
                <w:sz w:val="24"/>
                <w:szCs w:val="24"/>
              </w:rPr>
              <w:t xml:space="preserve"> continue to #4 &amp; 6 </w:t>
            </w:r>
          </w:p>
          <w:p w14:paraId="24825055" w14:textId="13836342" w:rsidR="004A71C0" w:rsidRPr="00A737BE" w:rsidRDefault="00A737BE" w:rsidP="00B90783">
            <w:pPr>
              <w:pStyle w:val="ListParagraph"/>
              <w:numPr>
                <w:ilvl w:val="0"/>
                <w:numId w:val="22"/>
              </w:numPr>
              <w:ind w:left="1115"/>
              <w:rPr>
                <w:rFonts w:asciiTheme="minorHAnsi" w:hAnsiTheme="minorHAnsi" w:cstheme="minorHAnsi"/>
                <w:sz w:val="24"/>
                <w:szCs w:val="24"/>
              </w:rPr>
            </w:pPr>
            <w:r>
              <w:rPr>
                <w:rFonts w:asciiTheme="minorHAnsi" w:hAnsiTheme="minorHAnsi" w:cstheme="minorHAnsi"/>
                <w:sz w:val="24"/>
                <w:szCs w:val="24"/>
              </w:rPr>
              <w:t>If no –</w:t>
            </w:r>
            <w:r w:rsidR="004A71C0" w:rsidRPr="00A737BE">
              <w:rPr>
                <w:rFonts w:asciiTheme="minorHAnsi" w:hAnsiTheme="minorHAnsi" w:cstheme="minorHAnsi"/>
                <w:sz w:val="24"/>
                <w:szCs w:val="24"/>
              </w:rPr>
              <w:t xml:space="preserve"> continue to #4</w:t>
            </w:r>
          </w:p>
          <w:p w14:paraId="729F6A56" w14:textId="39E782B3" w:rsidR="004A71C0" w:rsidRPr="00A737BE" w:rsidRDefault="00A737BE" w:rsidP="00B90783">
            <w:pPr>
              <w:pStyle w:val="ListParagraph"/>
              <w:numPr>
                <w:ilvl w:val="0"/>
                <w:numId w:val="22"/>
              </w:numPr>
              <w:ind w:left="1115"/>
              <w:rPr>
                <w:rFonts w:asciiTheme="minorHAnsi" w:hAnsiTheme="minorHAnsi" w:cstheme="minorHAnsi"/>
                <w:sz w:val="24"/>
                <w:szCs w:val="24"/>
              </w:rPr>
            </w:pPr>
            <w:r>
              <w:rPr>
                <w:rFonts w:asciiTheme="minorHAnsi" w:hAnsiTheme="minorHAnsi" w:cstheme="minorHAnsi"/>
                <w:sz w:val="24"/>
                <w:szCs w:val="24"/>
              </w:rPr>
              <w:t>If maybe –</w:t>
            </w:r>
            <w:bookmarkStart w:id="0" w:name="_GoBack"/>
            <w:bookmarkEnd w:id="0"/>
            <w:r w:rsidR="004A71C0" w:rsidRPr="00A737BE">
              <w:rPr>
                <w:rFonts w:asciiTheme="minorHAnsi" w:hAnsiTheme="minorHAnsi" w:cstheme="minorHAnsi"/>
                <w:sz w:val="24"/>
                <w:szCs w:val="24"/>
              </w:rPr>
              <w:t xml:space="preserve"> continue to #4 &amp; 5</w:t>
            </w:r>
            <w:r w:rsidR="00F45C8D" w:rsidRPr="00A737BE">
              <w:rPr>
                <w:rFonts w:asciiTheme="minorHAnsi" w:hAnsiTheme="minorHAnsi" w:cstheme="minorHAnsi"/>
                <w:sz w:val="24"/>
                <w:szCs w:val="24"/>
              </w:rPr>
              <w:t>.</w:t>
            </w:r>
          </w:p>
          <w:p w14:paraId="0DACE5E4" w14:textId="77777777" w:rsidR="004A71C0" w:rsidRPr="00A737BE" w:rsidRDefault="004A71C0" w:rsidP="00AA3436">
            <w:pPr>
              <w:pStyle w:val="ListParagraph"/>
              <w:ind w:left="360"/>
              <w:rPr>
                <w:rFonts w:asciiTheme="minorHAnsi" w:hAnsiTheme="minorHAnsi" w:cstheme="minorHAnsi"/>
                <w:sz w:val="24"/>
                <w:szCs w:val="24"/>
              </w:rPr>
            </w:pPr>
          </w:p>
          <w:p w14:paraId="76A8ECE4" w14:textId="452E0219" w:rsidR="004A71C0" w:rsidRPr="00A737BE" w:rsidRDefault="004A71C0" w:rsidP="00A737BE">
            <w:pPr>
              <w:pStyle w:val="ListParagraph"/>
              <w:numPr>
                <w:ilvl w:val="0"/>
                <w:numId w:val="13"/>
              </w:numPr>
              <w:spacing w:after="60"/>
              <w:contextualSpacing w:val="0"/>
              <w:rPr>
                <w:rFonts w:asciiTheme="minorHAnsi" w:hAnsiTheme="minorHAnsi" w:cstheme="minorHAnsi"/>
                <w:sz w:val="24"/>
                <w:szCs w:val="24"/>
              </w:rPr>
            </w:pPr>
            <w:r w:rsidRPr="00A737BE">
              <w:rPr>
                <w:rFonts w:asciiTheme="minorHAnsi" w:hAnsiTheme="minorHAnsi" w:cstheme="minorHAnsi"/>
                <w:sz w:val="24"/>
                <w:szCs w:val="24"/>
              </w:rPr>
              <w:t xml:space="preserve">After the call, document in </w:t>
            </w:r>
            <w:r w:rsidR="00815F6F" w:rsidRPr="00A737BE">
              <w:rPr>
                <w:rFonts w:asciiTheme="minorHAnsi" w:hAnsiTheme="minorHAnsi" w:cstheme="minorHAnsi"/>
                <w:sz w:val="24"/>
                <w:szCs w:val="24"/>
                <w:highlight w:val="yellow"/>
              </w:rPr>
              <w:t>{documentation name}</w:t>
            </w:r>
            <w:r w:rsidRPr="00A737BE">
              <w:rPr>
                <w:rFonts w:asciiTheme="minorHAnsi" w:hAnsiTheme="minorHAnsi" w:cstheme="minorHAnsi"/>
                <w:sz w:val="24"/>
                <w:szCs w:val="24"/>
              </w:rPr>
              <w:t xml:space="preserve"> order: </w:t>
            </w:r>
          </w:p>
          <w:p w14:paraId="31F86F60" w14:textId="77777777" w:rsidR="004A71C0" w:rsidRPr="00A737BE" w:rsidRDefault="004A71C0" w:rsidP="00A737BE">
            <w:pPr>
              <w:pStyle w:val="ListParagraph"/>
              <w:numPr>
                <w:ilvl w:val="0"/>
                <w:numId w:val="18"/>
              </w:numPr>
              <w:spacing w:after="60"/>
              <w:contextualSpacing w:val="0"/>
              <w:rPr>
                <w:rFonts w:asciiTheme="minorHAnsi" w:hAnsiTheme="minorHAnsi" w:cstheme="minorHAnsi"/>
                <w:sz w:val="24"/>
                <w:szCs w:val="24"/>
              </w:rPr>
            </w:pPr>
            <w:r w:rsidRPr="00A737BE">
              <w:rPr>
                <w:rFonts w:asciiTheme="minorHAnsi" w:hAnsiTheme="minorHAnsi" w:cstheme="minorHAnsi"/>
                <w:sz w:val="24"/>
                <w:szCs w:val="24"/>
              </w:rPr>
              <w:t>The initial call is completed</w:t>
            </w:r>
          </w:p>
          <w:p w14:paraId="0E696F50" w14:textId="77777777" w:rsidR="004A71C0" w:rsidRPr="00A737BE" w:rsidRDefault="004A71C0" w:rsidP="00A737BE">
            <w:pPr>
              <w:pStyle w:val="ListParagraph"/>
              <w:numPr>
                <w:ilvl w:val="0"/>
                <w:numId w:val="18"/>
              </w:numPr>
              <w:spacing w:after="60"/>
              <w:contextualSpacing w:val="0"/>
              <w:rPr>
                <w:rFonts w:asciiTheme="minorHAnsi" w:hAnsiTheme="minorHAnsi" w:cstheme="minorHAnsi"/>
                <w:sz w:val="24"/>
                <w:szCs w:val="24"/>
              </w:rPr>
            </w:pPr>
            <w:r w:rsidRPr="00A737BE">
              <w:rPr>
                <w:rFonts w:asciiTheme="minorHAnsi" w:hAnsiTheme="minorHAnsi" w:cstheme="minorHAnsi"/>
                <w:sz w:val="24"/>
                <w:szCs w:val="24"/>
              </w:rPr>
              <w:t>If the patient is interested: yes/no/maybe</w:t>
            </w:r>
          </w:p>
          <w:p w14:paraId="6FE86C88" w14:textId="27A4245E" w:rsidR="004A71C0" w:rsidRPr="00A737BE" w:rsidRDefault="004A71C0" w:rsidP="00AA3436">
            <w:pPr>
              <w:pStyle w:val="ListParagraph"/>
              <w:numPr>
                <w:ilvl w:val="0"/>
                <w:numId w:val="18"/>
              </w:numPr>
              <w:rPr>
                <w:rFonts w:asciiTheme="minorHAnsi" w:hAnsiTheme="minorHAnsi" w:cstheme="minorHAnsi"/>
                <w:sz w:val="24"/>
                <w:szCs w:val="24"/>
              </w:rPr>
            </w:pPr>
            <w:r w:rsidRPr="00A737BE">
              <w:rPr>
                <w:rFonts w:asciiTheme="minorHAnsi" w:hAnsiTheme="minorHAnsi" w:cstheme="minorHAnsi"/>
                <w:sz w:val="24"/>
                <w:szCs w:val="24"/>
              </w:rPr>
              <w:t>If no, document why the patient opted out</w:t>
            </w:r>
            <w:r w:rsidR="00F45C8D" w:rsidRPr="00A737BE">
              <w:rPr>
                <w:rFonts w:asciiTheme="minorHAnsi" w:hAnsiTheme="minorHAnsi" w:cstheme="minorHAnsi"/>
                <w:sz w:val="24"/>
                <w:szCs w:val="24"/>
              </w:rPr>
              <w:t>.</w:t>
            </w:r>
          </w:p>
          <w:p w14:paraId="7323185B" w14:textId="77777777" w:rsidR="004A71C0" w:rsidRPr="00A737BE" w:rsidRDefault="004A71C0" w:rsidP="007A6C22">
            <w:pPr>
              <w:pStyle w:val="ListParagraph"/>
              <w:ind w:left="360"/>
              <w:rPr>
                <w:rFonts w:asciiTheme="minorHAnsi" w:hAnsiTheme="minorHAnsi" w:cstheme="minorHAnsi"/>
                <w:sz w:val="24"/>
                <w:szCs w:val="24"/>
              </w:rPr>
            </w:pPr>
          </w:p>
          <w:p w14:paraId="64D53FCA" w14:textId="2773FC56" w:rsidR="004A71C0" w:rsidRPr="00A737BE" w:rsidRDefault="004A71C0" w:rsidP="007A6C22">
            <w:pPr>
              <w:pStyle w:val="ListParagraph"/>
              <w:numPr>
                <w:ilvl w:val="0"/>
                <w:numId w:val="13"/>
              </w:numPr>
              <w:rPr>
                <w:rFonts w:asciiTheme="minorHAnsi" w:hAnsiTheme="minorHAnsi" w:cstheme="minorHAnsi"/>
                <w:sz w:val="24"/>
                <w:szCs w:val="24"/>
              </w:rPr>
            </w:pPr>
            <w:r w:rsidRPr="00A737BE">
              <w:rPr>
                <w:rFonts w:asciiTheme="minorHAnsi" w:hAnsiTheme="minorHAnsi" w:cstheme="minorHAnsi"/>
                <w:sz w:val="24"/>
                <w:szCs w:val="24"/>
              </w:rPr>
              <w:t xml:space="preserve">If the patient is not sure if they are interested in the service, call the patient in 3 days to ask if the patient is interested in the telepharmacy service </w:t>
            </w:r>
            <w:r w:rsidRPr="00A737BE">
              <w:rPr>
                <w:rFonts w:asciiTheme="minorHAnsi" w:hAnsiTheme="minorHAnsi" w:cstheme="minorHAnsi"/>
                <w:i/>
                <w:sz w:val="24"/>
                <w:szCs w:val="24"/>
              </w:rPr>
              <w:t>(repeat steps 1-3)</w:t>
            </w:r>
            <w:r w:rsidR="00F45C8D" w:rsidRPr="00A737BE">
              <w:rPr>
                <w:rFonts w:asciiTheme="minorHAnsi" w:hAnsiTheme="minorHAnsi" w:cstheme="minorHAnsi"/>
                <w:i/>
                <w:sz w:val="24"/>
                <w:szCs w:val="24"/>
              </w:rPr>
              <w:t>.</w:t>
            </w:r>
            <w:r w:rsidRPr="00A737BE">
              <w:rPr>
                <w:rFonts w:asciiTheme="minorHAnsi" w:hAnsiTheme="minorHAnsi" w:cstheme="minorHAnsi"/>
                <w:sz w:val="24"/>
                <w:szCs w:val="24"/>
              </w:rPr>
              <w:t xml:space="preserve"> </w:t>
            </w:r>
          </w:p>
          <w:p w14:paraId="76194DD1" w14:textId="77777777" w:rsidR="004A71C0" w:rsidRPr="00A737BE" w:rsidRDefault="004A71C0" w:rsidP="00AA3436">
            <w:pPr>
              <w:pStyle w:val="ListParagraph"/>
              <w:ind w:left="360"/>
              <w:rPr>
                <w:rFonts w:asciiTheme="minorHAnsi" w:hAnsiTheme="minorHAnsi" w:cstheme="minorHAnsi"/>
                <w:sz w:val="24"/>
                <w:szCs w:val="24"/>
              </w:rPr>
            </w:pPr>
          </w:p>
          <w:p w14:paraId="0AD2C52E" w14:textId="24A3EBF5" w:rsidR="004A71C0" w:rsidRPr="00A737BE" w:rsidRDefault="004A71C0" w:rsidP="00A737BE">
            <w:pPr>
              <w:pStyle w:val="ListParagraph"/>
              <w:numPr>
                <w:ilvl w:val="0"/>
                <w:numId w:val="13"/>
              </w:numPr>
              <w:spacing w:after="60"/>
              <w:contextualSpacing w:val="0"/>
              <w:rPr>
                <w:rFonts w:asciiTheme="minorHAnsi" w:hAnsiTheme="minorHAnsi" w:cstheme="minorHAnsi"/>
                <w:sz w:val="24"/>
                <w:szCs w:val="24"/>
              </w:rPr>
            </w:pPr>
            <w:r w:rsidRPr="00A737BE">
              <w:rPr>
                <w:rFonts w:asciiTheme="minorHAnsi" w:hAnsiTheme="minorHAnsi" w:cstheme="minorHAnsi"/>
                <w:sz w:val="24"/>
                <w:szCs w:val="24"/>
              </w:rPr>
              <w:t xml:space="preserve">If the patient is interested in the service, </w:t>
            </w:r>
          </w:p>
          <w:p w14:paraId="0EDD637E" w14:textId="46FD2554" w:rsidR="004A71C0" w:rsidRPr="00A737BE" w:rsidRDefault="004A71C0" w:rsidP="00A737BE">
            <w:pPr>
              <w:pStyle w:val="ListParagraph"/>
              <w:numPr>
                <w:ilvl w:val="0"/>
                <w:numId w:val="19"/>
              </w:numPr>
              <w:spacing w:after="60"/>
              <w:contextualSpacing w:val="0"/>
              <w:rPr>
                <w:rFonts w:asciiTheme="minorHAnsi" w:hAnsiTheme="minorHAnsi" w:cstheme="minorHAnsi"/>
                <w:sz w:val="24"/>
                <w:szCs w:val="24"/>
              </w:rPr>
            </w:pPr>
            <w:r w:rsidRPr="00A737BE">
              <w:rPr>
                <w:rFonts w:asciiTheme="minorHAnsi" w:hAnsiTheme="minorHAnsi" w:cstheme="minorHAnsi"/>
                <w:sz w:val="24"/>
                <w:szCs w:val="24"/>
              </w:rPr>
              <w:t>Review the welcome packet and let the patient know you will mail the welcome packet</w:t>
            </w:r>
            <w:r w:rsidR="00F45C8D" w:rsidRPr="00A737BE">
              <w:rPr>
                <w:rFonts w:asciiTheme="minorHAnsi" w:hAnsiTheme="minorHAnsi" w:cstheme="minorHAnsi"/>
                <w:sz w:val="24"/>
                <w:szCs w:val="24"/>
              </w:rPr>
              <w:t>.</w:t>
            </w:r>
            <w:r w:rsidRPr="00A737BE">
              <w:rPr>
                <w:rFonts w:asciiTheme="minorHAnsi" w:hAnsiTheme="minorHAnsi" w:cstheme="minorHAnsi"/>
                <w:sz w:val="24"/>
                <w:szCs w:val="24"/>
              </w:rPr>
              <w:t xml:space="preserve"> </w:t>
            </w:r>
          </w:p>
          <w:p w14:paraId="1975EF05" w14:textId="788DDC2E" w:rsidR="004A71C0" w:rsidRPr="00A737BE" w:rsidRDefault="004A71C0" w:rsidP="00A737BE">
            <w:pPr>
              <w:pStyle w:val="ListParagraph"/>
              <w:numPr>
                <w:ilvl w:val="0"/>
                <w:numId w:val="19"/>
              </w:numPr>
              <w:spacing w:after="60"/>
              <w:contextualSpacing w:val="0"/>
              <w:rPr>
                <w:rFonts w:asciiTheme="minorHAnsi" w:hAnsiTheme="minorHAnsi" w:cstheme="minorHAnsi"/>
                <w:sz w:val="24"/>
                <w:szCs w:val="24"/>
              </w:rPr>
            </w:pPr>
            <w:r w:rsidRPr="00A737BE">
              <w:rPr>
                <w:rFonts w:asciiTheme="minorHAnsi" w:hAnsiTheme="minorHAnsi" w:cstheme="minorHAnsi"/>
                <w:sz w:val="24"/>
                <w:szCs w:val="24"/>
              </w:rPr>
              <w:t>Let the patient know the welcome packet includes a consent form and self-address/pre-stamped envelop to send back the consent (before appointment)</w:t>
            </w:r>
            <w:r w:rsidR="00F45C8D" w:rsidRPr="00A737BE">
              <w:rPr>
                <w:rFonts w:asciiTheme="minorHAnsi" w:hAnsiTheme="minorHAnsi" w:cstheme="minorHAnsi"/>
                <w:sz w:val="24"/>
                <w:szCs w:val="24"/>
              </w:rPr>
              <w:t>.</w:t>
            </w:r>
            <w:r w:rsidRPr="00A737BE">
              <w:rPr>
                <w:rFonts w:asciiTheme="minorHAnsi" w:hAnsiTheme="minorHAnsi" w:cstheme="minorHAnsi"/>
                <w:sz w:val="24"/>
                <w:szCs w:val="24"/>
              </w:rPr>
              <w:t xml:space="preserve"> </w:t>
            </w:r>
          </w:p>
          <w:p w14:paraId="741DF56A" w14:textId="7544DAA7" w:rsidR="004A71C0" w:rsidRPr="00A737BE" w:rsidRDefault="004A71C0" w:rsidP="00A737BE">
            <w:pPr>
              <w:pStyle w:val="ListParagraph"/>
              <w:numPr>
                <w:ilvl w:val="0"/>
                <w:numId w:val="19"/>
              </w:numPr>
              <w:spacing w:after="60"/>
              <w:contextualSpacing w:val="0"/>
              <w:rPr>
                <w:rFonts w:asciiTheme="minorHAnsi" w:hAnsiTheme="minorHAnsi" w:cstheme="minorHAnsi"/>
                <w:sz w:val="24"/>
                <w:szCs w:val="24"/>
              </w:rPr>
            </w:pPr>
            <w:r w:rsidRPr="00A737BE">
              <w:rPr>
                <w:rFonts w:asciiTheme="minorHAnsi" w:hAnsiTheme="minorHAnsi" w:cstheme="minorHAnsi"/>
                <w:sz w:val="24"/>
                <w:szCs w:val="24"/>
              </w:rPr>
              <w:t>Ask if they have capability to do a video or telephone visit</w:t>
            </w:r>
            <w:r w:rsidR="00F45C8D" w:rsidRPr="00A737BE">
              <w:rPr>
                <w:rFonts w:asciiTheme="minorHAnsi" w:hAnsiTheme="minorHAnsi" w:cstheme="minorHAnsi"/>
                <w:sz w:val="24"/>
                <w:szCs w:val="24"/>
              </w:rPr>
              <w:t>.</w:t>
            </w:r>
          </w:p>
          <w:p w14:paraId="578B479C" w14:textId="70FC5A93" w:rsidR="00A737BE" w:rsidRPr="00A737BE" w:rsidRDefault="004A71C0" w:rsidP="00A737BE">
            <w:pPr>
              <w:pStyle w:val="ListParagraph"/>
              <w:numPr>
                <w:ilvl w:val="0"/>
                <w:numId w:val="19"/>
              </w:numPr>
              <w:spacing w:after="240"/>
              <w:rPr>
                <w:rFonts w:asciiTheme="minorHAnsi" w:hAnsiTheme="minorHAnsi" w:cstheme="minorHAnsi"/>
                <w:sz w:val="24"/>
                <w:szCs w:val="24"/>
              </w:rPr>
            </w:pPr>
            <w:r w:rsidRPr="00A737BE">
              <w:rPr>
                <w:rFonts w:asciiTheme="minorHAnsi" w:hAnsiTheme="minorHAnsi" w:cstheme="minorHAnsi"/>
                <w:sz w:val="24"/>
                <w:szCs w:val="24"/>
              </w:rPr>
              <w:t>Schedule the pharmacy visit – designate if the visit is by phone or video</w:t>
            </w:r>
            <w:r w:rsidR="00F45C8D" w:rsidRPr="00A737BE">
              <w:rPr>
                <w:rFonts w:asciiTheme="minorHAnsi" w:hAnsiTheme="minorHAnsi" w:cstheme="minorHAnsi"/>
                <w:sz w:val="24"/>
                <w:szCs w:val="24"/>
              </w:rPr>
              <w:t>.</w:t>
            </w:r>
          </w:p>
        </w:tc>
      </w:tr>
      <w:tr w:rsidR="004A71C0" w:rsidRPr="00A737BE" w14:paraId="60E23145" w14:textId="77777777" w:rsidTr="00D46D8C">
        <w:trPr>
          <w:trHeight w:val="2780"/>
        </w:trPr>
        <w:tc>
          <w:tcPr>
            <w:tcW w:w="1171" w:type="pct"/>
            <w:vMerge/>
          </w:tcPr>
          <w:p w14:paraId="734094F2" w14:textId="77777777" w:rsidR="004A71C0" w:rsidRPr="00A737BE" w:rsidRDefault="004A71C0" w:rsidP="00AF6EFD">
            <w:pPr>
              <w:rPr>
                <w:rFonts w:asciiTheme="minorHAnsi" w:hAnsiTheme="minorHAnsi" w:cstheme="minorHAnsi"/>
                <w:b/>
                <w:bCs/>
                <w:sz w:val="32"/>
                <w:szCs w:val="32"/>
              </w:rPr>
            </w:pPr>
          </w:p>
        </w:tc>
        <w:tc>
          <w:tcPr>
            <w:tcW w:w="3829" w:type="pct"/>
          </w:tcPr>
          <w:p w14:paraId="7C06B3CA" w14:textId="166AE4EC" w:rsidR="004A71C0" w:rsidRPr="00A737BE" w:rsidRDefault="004A71C0" w:rsidP="00A737BE">
            <w:pPr>
              <w:spacing w:after="120"/>
              <w:rPr>
                <w:rFonts w:asciiTheme="minorHAnsi" w:hAnsiTheme="minorHAnsi" w:cstheme="minorHAnsi"/>
                <w:b/>
                <w:sz w:val="24"/>
                <w:szCs w:val="24"/>
              </w:rPr>
            </w:pPr>
            <w:r w:rsidRPr="00A737BE">
              <w:rPr>
                <w:rFonts w:asciiTheme="minorHAnsi" w:hAnsiTheme="minorHAnsi" w:cstheme="minorHAnsi"/>
                <w:b/>
                <w:sz w:val="24"/>
                <w:szCs w:val="24"/>
              </w:rPr>
              <w:t xml:space="preserve">Prior to visit:  </w:t>
            </w:r>
          </w:p>
          <w:p w14:paraId="4F21FE2E" w14:textId="1C844EC5" w:rsidR="004A71C0" w:rsidRPr="00A737BE" w:rsidRDefault="004A71C0" w:rsidP="00A737BE">
            <w:pPr>
              <w:pStyle w:val="ListParagraph"/>
              <w:numPr>
                <w:ilvl w:val="0"/>
                <w:numId w:val="13"/>
              </w:numPr>
              <w:spacing w:after="60"/>
              <w:contextualSpacing w:val="0"/>
              <w:rPr>
                <w:rFonts w:asciiTheme="minorHAnsi" w:hAnsiTheme="minorHAnsi" w:cstheme="minorHAnsi"/>
                <w:sz w:val="24"/>
                <w:szCs w:val="24"/>
              </w:rPr>
            </w:pPr>
            <w:r w:rsidRPr="00A737BE">
              <w:rPr>
                <w:rFonts w:asciiTheme="minorHAnsi" w:hAnsiTheme="minorHAnsi" w:cstheme="minorHAnsi"/>
                <w:sz w:val="24"/>
                <w:szCs w:val="24"/>
              </w:rPr>
              <w:t xml:space="preserve">Once signed consent is mailed back, </w:t>
            </w:r>
          </w:p>
          <w:p w14:paraId="7996DC29" w14:textId="00B791CC" w:rsidR="004A71C0" w:rsidRPr="00A737BE" w:rsidRDefault="004A71C0" w:rsidP="00A737BE">
            <w:pPr>
              <w:pStyle w:val="ListParagraph"/>
              <w:numPr>
                <w:ilvl w:val="1"/>
                <w:numId w:val="24"/>
              </w:numPr>
              <w:spacing w:after="60"/>
              <w:contextualSpacing w:val="0"/>
              <w:rPr>
                <w:rFonts w:asciiTheme="minorHAnsi" w:hAnsiTheme="minorHAnsi" w:cstheme="minorHAnsi"/>
                <w:sz w:val="24"/>
                <w:szCs w:val="24"/>
              </w:rPr>
            </w:pPr>
            <w:r w:rsidRPr="00A737BE">
              <w:rPr>
                <w:rFonts w:asciiTheme="minorHAnsi" w:hAnsiTheme="minorHAnsi" w:cstheme="minorHAnsi"/>
                <w:sz w:val="24"/>
                <w:szCs w:val="24"/>
              </w:rPr>
              <w:t xml:space="preserve">Go into the EHR and check “consent reviewed/signed” in the EHR encounter note for the telepharmacy initial visit  </w:t>
            </w:r>
          </w:p>
          <w:p w14:paraId="1D60F403" w14:textId="44EA8FEC" w:rsidR="004A71C0" w:rsidRPr="00A737BE" w:rsidRDefault="004A71C0" w:rsidP="00A737BE">
            <w:pPr>
              <w:pStyle w:val="ListParagraph"/>
              <w:numPr>
                <w:ilvl w:val="1"/>
                <w:numId w:val="24"/>
              </w:numPr>
              <w:spacing w:after="60"/>
              <w:contextualSpacing w:val="0"/>
              <w:rPr>
                <w:rFonts w:asciiTheme="minorHAnsi" w:hAnsiTheme="minorHAnsi" w:cstheme="minorHAnsi"/>
                <w:sz w:val="24"/>
                <w:szCs w:val="24"/>
              </w:rPr>
            </w:pPr>
            <w:r w:rsidRPr="00A737BE">
              <w:rPr>
                <w:rFonts w:asciiTheme="minorHAnsi" w:hAnsiTheme="minorHAnsi" w:cstheme="minorHAnsi"/>
                <w:sz w:val="24"/>
                <w:szCs w:val="24"/>
              </w:rPr>
              <w:t xml:space="preserve">Write the MRN on the paper consent form </w:t>
            </w:r>
          </w:p>
          <w:p w14:paraId="75A02061" w14:textId="63A825AC" w:rsidR="004A71C0" w:rsidRDefault="004A71C0" w:rsidP="00A737BE">
            <w:pPr>
              <w:pStyle w:val="ListParagraph"/>
              <w:numPr>
                <w:ilvl w:val="1"/>
                <w:numId w:val="24"/>
              </w:numPr>
              <w:rPr>
                <w:rFonts w:asciiTheme="minorHAnsi" w:hAnsiTheme="minorHAnsi" w:cstheme="minorHAnsi"/>
                <w:sz w:val="24"/>
                <w:szCs w:val="24"/>
              </w:rPr>
            </w:pPr>
            <w:r w:rsidRPr="00A737BE">
              <w:rPr>
                <w:rFonts w:asciiTheme="minorHAnsi" w:hAnsiTheme="minorHAnsi" w:cstheme="minorHAnsi"/>
                <w:sz w:val="24"/>
                <w:szCs w:val="24"/>
              </w:rPr>
              <w:t xml:space="preserve">Scan the consent form into patient’s chart in the </w:t>
            </w:r>
            <w:r w:rsidR="00A737BE">
              <w:rPr>
                <w:rFonts w:asciiTheme="minorHAnsi" w:hAnsiTheme="minorHAnsi" w:cstheme="minorHAnsi"/>
                <w:sz w:val="24"/>
                <w:szCs w:val="24"/>
              </w:rPr>
              <w:t>HER</w:t>
            </w:r>
          </w:p>
          <w:p w14:paraId="6F78EC6E" w14:textId="77777777" w:rsidR="00A737BE" w:rsidRPr="00A737BE" w:rsidRDefault="00A737BE" w:rsidP="00A737BE">
            <w:pPr>
              <w:pStyle w:val="ListParagraph"/>
              <w:rPr>
                <w:rFonts w:asciiTheme="minorHAnsi" w:hAnsiTheme="minorHAnsi" w:cstheme="minorHAnsi"/>
                <w:sz w:val="24"/>
                <w:szCs w:val="24"/>
              </w:rPr>
            </w:pPr>
          </w:p>
          <w:p w14:paraId="0F9EF9CF" w14:textId="4B8399B2" w:rsidR="004A71C0" w:rsidRPr="00A737BE" w:rsidRDefault="004A71C0" w:rsidP="00A737BE">
            <w:pPr>
              <w:pStyle w:val="ListParagraph"/>
              <w:numPr>
                <w:ilvl w:val="0"/>
                <w:numId w:val="13"/>
              </w:numPr>
              <w:rPr>
                <w:rFonts w:asciiTheme="minorHAnsi" w:hAnsiTheme="minorHAnsi" w:cstheme="minorHAnsi"/>
                <w:sz w:val="24"/>
                <w:szCs w:val="24"/>
              </w:rPr>
            </w:pPr>
            <w:r w:rsidRPr="00A737BE">
              <w:rPr>
                <w:rFonts w:asciiTheme="minorHAnsi" w:hAnsiTheme="minorHAnsi" w:cstheme="minorHAnsi"/>
                <w:sz w:val="24"/>
                <w:szCs w:val="24"/>
              </w:rPr>
              <w:t>One day prior to visit, call the patient as a reminder of the telepharmacy appointment</w:t>
            </w:r>
            <w:r w:rsidR="00F45C8D" w:rsidRPr="00A737BE">
              <w:rPr>
                <w:rFonts w:asciiTheme="minorHAnsi" w:hAnsiTheme="minorHAnsi" w:cstheme="minorHAnsi"/>
                <w:sz w:val="24"/>
                <w:szCs w:val="24"/>
              </w:rPr>
              <w:t>.</w:t>
            </w:r>
            <w:r w:rsidRPr="00A737BE">
              <w:rPr>
                <w:rFonts w:asciiTheme="minorHAnsi" w:hAnsiTheme="minorHAnsi" w:cstheme="minorHAnsi"/>
                <w:sz w:val="24"/>
                <w:szCs w:val="24"/>
              </w:rPr>
              <w:t xml:space="preserve"> </w:t>
            </w:r>
          </w:p>
        </w:tc>
      </w:tr>
      <w:tr w:rsidR="00964942" w:rsidRPr="00A737BE" w14:paraId="789825C7" w14:textId="77777777" w:rsidTr="00A737BE">
        <w:trPr>
          <w:trHeight w:val="2474"/>
        </w:trPr>
        <w:tc>
          <w:tcPr>
            <w:tcW w:w="1171" w:type="pct"/>
          </w:tcPr>
          <w:p w14:paraId="34063D3B" w14:textId="77777777" w:rsidR="00964942" w:rsidRPr="00A737BE" w:rsidRDefault="00964942" w:rsidP="00964942">
            <w:pPr>
              <w:rPr>
                <w:rFonts w:asciiTheme="minorHAnsi" w:hAnsiTheme="minorHAnsi" w:cstheme="minorHAnsi"/>
                <w:b/>
                <w:bCs/>
                <w:sz w:val="28"/>
                <w:szCs w:val="32"/>
              </w:rPr>
            </w:pPr>
            <w:r w:rsidRPr="00A737BE">
              <w:rPr>
                <w:rFonts w:asciiTheme="minorHAnsi" w:hAnsiTheme="minorHAnsi" w:cstheme="minorHAnsi"/>
                <w:b/>
                <w:bCs/>
                <w:sz w:val="28"/>
                <w:szCs w:val="32"/>
              </w:rPr>
              <w:t xml:space="preserve">After the Telepharmacy Visit </w:t>
            </w:r>
          </w:p>
          <w:p w14:paraId="1406E72C" w14:textId="77777777" w:rsidR="00964942" w:rsidRPr="00A737BE" w:rsidRDefault="00964942" w:rsidP="00AF6EFD">
            <w:pPr>
              <w:rPr>
                <w:rFonts w:asciiTheme="minorHAnsi" w:hAnsiTheme="minorHAnsi" w:cstheme="minorHAnsi"/>
                <w:b/>
                <w:bCs/>
                <w:sz w:val="32"/>
                <w:szCs w:val="32"/>
              </w:rPr>
            </w:pPr>
          </w:p>
        </w:tc>
        <w:tc>
          <w:tcPr>
            <w:tcW w:w="3829" w:type="pct"/>
          </w:tcPr>
          <w:p w14:paraId="7BC4ACEA" w14:textId="77777777" w:rsidR="00964942" w:rsidRPr="00A737BE" w:rsidRDefault="00964942" w:rsidP="00A737BE">
            <w:pPr>
              <w:spacing w:after="240"/>
              <w:rPr>
                <w:rFonts w:asciiTheme="minorHAnsi" w:hAnsiTheme="minorHAnsi" w:cstheme="minorHAnsi"/>
                <w:bCs/>
                <w:sz w:val="24"/>
                <w:szCs w:val="24"/>
              </w:rPr>
            </w:pPr>
            <w:r w:rsidRPr="00A737BE">
              <w:rPr>
                <w:rFonts w:asciiTheme="minorHAnsi" w:hAnsiTheme="minorHAnsi" w:cstheme="minorHAnsi"/>
                <w:bCs/>
                <w:sz w:val="24"/>
                <w:szCs w:val="24"/>
              </w:rPr>
              <w:t xml:space="preserve">1. </w:t>
            </w:r>
            <w:r w:rsidR="00C6639C" w:rsidRPr="00A737BE">
              <w:rPr>
                <w:rFonts w:asciiTheme="minorHAnsi" w:hAnsiTheme="minorHAnsi" w:cstheme="minorHAnsi"/>
                <w:bCs/>
                <w:sz w:val="24"/>
                <w:szCs w:val="24"/>
              </w:rPr>
              <w:t>Receive secure email from pharmacist with list of completed visits and next visit details.</w:t>
            </w:r>
          </w:p>
          <w:p w14:paraId="3843A764" w14:textId="77777777" w:rsidR="00C6639C" w:rsidRPr="00A737BE" w:rsidRDefault="00C6639C" w:rsidP="00A737BE">
            <w:pPr>
              <w:spacing w:after="240"/>
              <w:rPr>
                <w:rFonts w:asciiTheme="minorHAnsi" w:hAnsiTheme="minorHAnsi" w:cstheme="minorHAnsi"/>
                <w:bCs/>
                <w:sz w:val="24"/>
                <w:szCs w:val="24"/>
              </w:rPr>
            </w:pPr>
            <w:r w:rsidRPr="00A737BE">
              <w:rPr>
                <w:rFonts w:asciiTheme="minorHAnsi" w:hAnsiTheme="minorHAnsi" w:cstheme="minorHAnsi"/>
                <w:bCs/>
                <w:sz w:val="24"/>
                <w:szCs w:val="24"/>
              </w:rPr>
              <w:t>2. Schedule patient for follow up based on pharmacist's decided amount of time and designate if it is by phone or video; add to pharmacist's schedule.</w:t>
            </w:r>
          </w:p>
          <w:p w14:paraId="67DF3243" w14:textId="588C03B6" w:rsidR="00C6639C" w:rsidRPr="00A737BE" w:rsidRDefault="00C6639C" w:rsidP="00A737BE">
            <w:pPr>
              <w:spacing w:after="120"/>
              <w:rPr>
                <w:rFonts w:asciiTheme="minorHAnsi" w:hAnsiTheme="minorHAnsi" w:cstheme="minorHAnsi"/>
                <w:bCs/>
                <w:sz w:val="24"/>
                <w:szCs w:val="24"/>
              </w:rPr>
            </w:pPr>
            <w:r w:rsidRPr="00A737BE">
              <w:rPr>
                <w:rFonts w:asciiTheme="minorHAnsi" w:hAnsiTheme="minorHAnsi" w:cstheme="minorHAnsi"/>
                <w:bCs/>
                <w:sz w:val="24"/>
                <w:szCs w:val="24"/>
              </w:rPr>
              <w:t xml:space="preserve">3. </w:t>
            </w:r>
            <w:r w:rsidRPr="00A737BE">
              <w:rPr>
                <w:rFonts w:asciiTheme="minorHAnsi" w:hAnsiTheme="minorHAnsi" w:cstheme="minorHAnsi"/>
                <w:sz w:val="24"/>
                <w:szCs w:val="24"/>
              </w:rPr>
              <w:t>One day prior to visit, call the patient as a reminder of the telepharmacy appointment.</w:t>
            </w:r>
          </w:p>
        </w:tc>
      </w:tr>
    </w:tbl>
    <w:p w14:paraId="330B62FA" w14:textId="12BD317E" w:rsidR="00935B85" w:rsidRPr="00A737BE" w:rsidRDefault="00935B85">
      <w:pPr>
        <w:rPr>
          <w:rFonts w:asciiTheme="minorHAnsi" w:hAnsiTheme="minorHAnsi" w:cstheme="minorHAnsi"/>
        </w:rPr>
      </w:pPr>
    </w:p>
    <w:sectPr w:rsidR="00935B85" w:rsidRPr="00A737B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D3BE6" w14:textId="77777777" w:rsidR="00064249" w:rsidRDefault="00064249" w:rsidP="00815F6F">
      <w:r>
        <w:separator/>
      </w:r>
    </w:p>
  </w:endnote>
  <w:endnote w:type="continuationSeparator" w:id="0">
    <w:p w14:paraId="7B5ADFED" w14:textId="77777777" w:rsidR="00064249" w:rsidRDefault="00064249" w:rsidP="00815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89618" w14:textId="57A69ABA" w:rsidR="00815F6F" w:rsidRDefault="00815F6F">
    <w:pPr>
      <w:pStyle w:val="Footer"/>
    </w:pPr>
    <w:r w:rsidRPr="00A737BE">
      <w:rPr>
        <w:sz w:val="20"/>
        <w:szCs w:val="20"/>
      </w:rPr>
      <w:t>Evaluating a CMM Telepharmacy Model</w:t>
    </w:r>
    <w:r w:rsidR="00A737BE" w:rsidRPr="00A737BE">
      <w:rPr>
        <w:sz w:val="20"/>
        <w:szCs w:val="20"/>
      </w:rPr>
      <w:t xml:space="preserve"> </w:t>
    </w:r>
    <w:r w:rsidR="00A737BE" w:rsidRPr="00A737BE">
      <w:rPr>
        <w:sz w:val="20"/>
        <w:szCs w:val="20"/>
      </w:rPr>
      <w:t>– UNC Center for</w:t>
    </w:r>
    <w:sdt>
      <w:sdtPr>
        <w:rPr>
          <w:sz w:val="20"/>
          <w:szCs w:val="20"/>
        </w:rPr>
        <w:id w:val="-1293278956"/>
        <w:docPartObj>
          <w:docPartGallery w:val="Page Numbers (Bottom of Page)"/>
          <w:docPartUnique/>
        </w:docPartObj>
      </w:sdtPr>
      <w:sdtEndPr>
        <w:rPr>
          <w:noProof/>
        </w:rPr>
      </w:sdtEndPr>
      <w:sdtContent>
        <w:r w:rsidR="00A737BE" w:rsidRPr="00A737BE">
          <w:rPr>
            <w:sz w:val="20"/>
            <w:szCs w:val="20"/>
          </w:rPr>
          <w:t xml:space="preserve"> Medication Optimization 2021</w:t>
        </w:r>
        <w:r w:rsidR="00A737BE">
          <w:rPr>
            <w:sz w:val="20"/>
            <w:szCs w:val="20"/>
          </w:rPr>
          <w:t xml:space="preserve">      </w:t>
        </w:r>
        <w:r w:rsidR="00A737BE">
          <w:rPr>
            <w:sz w:val="20"/>
            <w:szCs w:val="20"/>
          </w:rPr>
          <w:tab/>
          <w:t xml:space="preserve">  </w:t>
        </w:r>
      </w:sdtContent>
    </w:sdt>
    <w:sdt>
      <w:sdtPr>
        <w:id w:val="-3412463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64249">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5B531" w14:textId="77777777" w:rsidR="00064249" w:rsidRDefault="00064249" w:rsidP="00815F6F">
      <w:r>
        <w:separator/>
      </w:r>
    </w:p>
  </w:footnote>
  <w:footnote w:type="continuationSeparator" w:id="0">
    <w:p w14:paraId="3BC83766" w14:textId="77777777" w:rsidR="00064249" w:rsidRDefault="00064249" w:rsidP="00815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4782A"/>
    <w:multiLevelType w:val="hybridMultilevel"/>
    <w:tmpl w:val="7B48F5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86CDF"/>
    <w:multiLevelType w:val="multilevel"/>
    <w:tmpl w:val="56F2E672"/>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4F009CE"/>
    <w:multiLevelType w:val="hybridMultilevel"/>
    <w:tmpl w:val="948679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A45A6"/>
    <w:multiLevelType w:val="hybridMultilevel"/>
    <w:tmpl w:val="72E8A9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B2E46"/>
    <w:multiLevelType w:val="multilevel"/>
    <w:tmpl w:val="D938DE90"/>
    <w:lvl w:ilvl="0">
      <w:start w:val="1"/>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2CB29E1"/>
    <w:multiLevelType w:val="hybridMultilevel"/>
    <w:tmpl w:val="D3ECB6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26ACB"/>
    <w:multiLevelType w:val="hybridMultilevel"/>
    <w:tmpl w:val="DDE8D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82397"/>
    <w:multiLevelType w:val="hybridMultilevel"/>
    <w:tmpl w:val="493CD1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84854"/>
    <w:multiLevelType w:val="multilevel"/>
    <w:tmpl w:val="E17CD016"/>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33D030D"/>
    <w:multiLevelType w:val="multilevel"/>
    <w:tmpl w:val="BC242406"/>
    <w:lvl w:ilvl="0">
      <w:start w:val="1"/>
      <w:numFmt w:val="decimal"/>
      <w:lvlText w:val="%1)"/>
      <w:lvlJc w:val="left"/>
      <w:pPr>
        <w:ind w:left="360" w:hanging="360"/>
      </w:pPr>
      <w:rPr>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CA4293"/>
    <w:multiLevelType w:val="hybridMultilevel"/>
    <w:tmpl w:val="5BD465FC"/>
    <w:lvl w:ilvl="0" w:tplc="D16CD97A">
      <w:start w:val="1"/>
      <w:numFmt w:val="decimal"/>
      <w:lvlText w:val="%1."/>
      <w:lvlJc w:val="left"/>
      <w:pPr>
        <w:ind w:left="360" w:hanging="360"/>
      </w:pPr>
      <w:rPr>
        <w:rFonts w:hint="default"/>
        <w:color w:val="auto"/>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4D5C56"/>
    <w:multiLevelType w:val="hybridMultilevel"/>
    <w:tmpl w:val="40289F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23C21"/>
    <w:multiLevelType w:val="hybridMultilevel"/>
    <w:tmpl w:val="1E3C538E"/>
    <w:lvl w:ilvl="0" w:tplc="04090001">
      <w:start w:val="1"/>
      <w:numFmt w:val="bullet"/>
      <w:lvlText w:val=""/>
      <w:lvlJc w:val="left"/>
      <w:pPr>
        <w:ind w:left="720" w:hanging="360"/>
      </w:pPr>
      <w:rPr>
        <w:rFonts w:ascii="Symbol" w:hAnsi="Symbol" w:hint="default"/>
      </w:rPr>
    </w:lvl>
    <w:lvl w:ilvl="1" w:tplc="BF00F346">
      <w:start w:val="1"/>
      <w:numFmt w:val="bullet"/>
      <w:lvlText w:val="o"/>
      <w:lvlJc w:val="left"/>
      <w:pPr>
        <w:ind w:left="1440" w:hanging="360"/>
      </w:pPr>
      <w:rPr>
        <w:rFonts w:ascii="Courier New" w:hAnsi="Courier New" w:cs="Courier New" w:hint="default"/>
        <w:color w:val="auto"/>
        <w:sz w:val="24"/>
        <w:szCs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DA5F27"/>
    <w:multiLevelType w:val="multilevel"/>
    <w:tmpl w:val="7A069E12"/>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3F433349"/>
    <w:multiLevelType w:val="hybridMultilevel"/>
    <w:tmpl w:val="8E609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613735"/>
    <w:multiLevelType w:val="multilevel"/>
    <w:tmpl w:val="482C540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485D4B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F70531"/>
    <w:multiLevelType w:val="hybridMultilevel"/>
    <w:tmpl w:val="C94E6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631D4"/>
    <w:multiLevelType w:val="multilevel"/>
    <w:tmpl w:val="31166C78"/>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54DA6697"/>
    <w:multiLevelType w:val="hybridMultilevel"/>
    <w:tmpl w:val="F432E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C1302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20C23F7"/>
    <w:multiLevelType w:val="hybridMultilevel"/>
    <w:tmpl w:val="FA8A4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FF7AB9"/>
    <w:multiLevelType w:val="hybridMultilevel"/>
    <w:tmpl w:val="D63E8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0D263E"/>
    <w:multiLevelType w:val="hybridMultilevel"/>
    <w:tmpl w:val="B1661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782A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1"/>
  </w:num>
  <w:num w:numId="2">
    <w:abstractNumId w:val="10"/>
  </w:num>
  <w:num w:numId="3">
    <w:abstractNumId w:val="17"/>
  </w:num>
  <w:num w:numId="4">
    <w:abstractNumId w:val="6"/>
  </w:num>
  <w:num w:numId="5">
    <w:abstractNumId w:val="12"/>
  </w:num>
  <w:num w:numId="6">
    <w:abstractNumId w:val="3"/>
  </w:num>
  <w:num w:numId="7">
    <w:abstractNumId w:val="22"/>
  </w:num>
  <w:num w:numId="8">
    <w:abstractNumId w:val="20"/>
  </w:num>
  <w:num w:numId="9">
    <w:abstractNumId w:val="24"/>
  </w:num>
  <w:num w:numId="10">
    <w:abstractNumId w:val="15"/>
  </w:num>
  <w:num w:numId="11">
    <w:abstractNumId w:val="7"/>
  </w:num>
  <w:num w:numId="12">
    <w:abstractNumId w:val="18"/>
  </w:num>
  <w:num w:numId="13">
    <w:abstractNumId w:val="4"/>
  </w:num>
  <w:num w:numId="14">
    <w:abstractNumId w:val="13"/>
  </w:num>
  <w:num w:numId="15">
    <w:abstractNumId w:val="1"/>
  </w:num>
  <w:num w:numId="16">
    <w:abstractNumId w:val="2"/>
  </w:num>
  <w:num w:numId="17">
    <w:abstractNumId w:val="0"/>
  </w:num>
  <w:num w:numId="18">
    <w:abstractNumId w:val="11"/>
  </w:num>
  <w:num w:numId="19">
    <w:abstractNumId w:val="5"/>
  </w:num>
  <w:num w:numId="20">
    <w:abstractNumId w:val="8"/>
  </w:num>
  <w:num w:numId="21">
    <w:abstractNumId w:val="23"/>
  </w:num>
  <w:num w:numId="22">
    <w:abstractNumId w:val="19"/>
  </w:num>
  <w:num w:numId="23">
    <w:abstractNumId w:val="14"/>
  </w:num>
  <w:num w:numId="24">
    <w:abstractNumId w:val="1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91C"/>
    <w:rsid w:val="00032D9A"/>
    <w:rsid w:val="0003713E"/>
    <w:rsid w:val="00064249"/>
    <w:rsid w:val="00090DB0"/>
    <w:rsid w:val="000E2168"/>
    <w:rsid w:val="0014215E"/>
    <w:rsid w:val="001B23E2"/>
    <w:rsid w:val="001F2C0F"/>
    <w:rsid w:val="00260539"/>
    <w:rsid w:val="002E5C11"/>
    <w:rsid w:val="00305F13"/>
    <w:rsid w:val="0035223F"/>
    <w:rsid w:val="003756C0"/>
    <w:rsid w:val="00396C96"/>
    <w:rsid w:val="003E16B7"/>
    <w:rsid w:val="00407572"/>
    <w:rsid w:val="00441CD5"/>
    <w:rsid w:val="004A71C0"/>
    <w:rsid w:val="005B3683"/>
    <w:rsid w:val="005C694B"/>
    <w:rsid w:val="0065707F"/>
    <w:rsid w:val="006B032F"/>
    <w:rsid w:val="00774E7A"/>
    <w:rsid w:val="0079569D"/>
    <w:rsid w:val="007A6C22"/>
    <w:rsid w:val="007C6290"/>
    <w:rsid w:val="00815F6F"/>
    <w:rsid w:val="00833BFE"/>
    <w:rsid w:val="008F47B6"/>
    <w:rsid w:val="00935B85"/>
    <w:rsid w:val="00941E3E"/>
    <w:rsid w:val="009648C0"/>
    <w:rsid w:val="00964942"/>
    <w:rsid w:val="009B30A0"/>
    <w:rsid w:val="009E2910"/>
    <w:rsid w:val="009F101E"/>
    <w:rsid w:val="00A10D09"/>
    <w:rsid w:val="00A666AC"/>
    <w:rsid w:val="00A737BE"/>
    <w:rsid w:val="00A93E37"/>
    <w:rsid w:val="00AA3436"/>
    <w:rsid w:val="00AF6EFD"/>
    <w:rsid w:val="00B838B0"/>
    <w:rsid w:val="00B90783"/>
    <w:rsid w:val="00B96FD8"/>
    <w:rsid w:val="00BF62BF"/>
    <w:rsid w:val="00BF7C1B"/>
    <w:rsid w:val="00C13C16"/>
    <w:rsid w:val="00C6639C"/>
    <w:rsid w:val="00C83FE2"/>
    <w:rsid w:val="00CA0D49"/>
    <w:rsid w:val="00CD27A4"/>
    <w:rsid w:val="00DC5142"/>
    <w:rsid w:val="00E0091C"/>
    <w:rsid w:val="00E3052F"/>
    <w:rsid w:val="00E41155"/>
    <w:rsid w:val="00EF06E0"/>
    <w:rsid w:val="00EF09D4"/>
    <w:rsid w:val="00F2191D"/>
    <w:rsid w:val="00F45C8D"/>
    <w:rsid w:val="00F85441"/>
    <w:rsid w:val="00FB64B3"/>
    <w:rsid w:val="00FD5D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10F85"/>
  <w15:chartTrackingRefBased/>
  <w15:docId w15:val="{2544E191-0886-4E2F-9ABE-5C209A59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13E"/>
    <w:pPr>
      <w:spacing w:after="0" w:line="240" w:lineRule="auto"/>
    </w:pPr>
    <w:rPr>
      <w:rFonts w:ascii="Calibri" w:hAnsi="Calibri" w:cs="Calibri"/>
    </w:rPr>
  </w:style>
  <w:style w:type="paragraph" w:styleId="Heading1">
    <w:name w:val="heading 1"/>
    <w:basedOn w:val="Normal"/>
    <w:next w:val="Normal"/>
    <w:link w:val="Heading1Char"/>
    <w:uiPriority w:val="9"/>
    <w:qFormat/>
    <w:rsid w:val="007A6C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A6C2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71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713E"/>
    <w:pPr>
      <w:ind w:left="720"/>
      <w:contextualSpacing/>
    </w:pPr>
  </w:style>
  <w:style w:type="paragraph" w:styleId="BalloonText">
    <w:name w:val="Balloon Text"/>
    <w:basedOn w:val="Normal"/>
    <w:link w:val="BalloonTextChar"/>
    <w:uiPriority w:val="99"/>
    <w:semiHidden/>
    <w:unhideWhenUsed/>
    <w:rsid w:val="000371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13E"/>
    <w:rPr>
      <w:rFonts w:ascii="Segoe UI" w:hAnsi="Segoe UI" w:cs="Segoe UI"/>
      <w:sz w:val="18"/>
      <w:szCs w:val="18"/>
    </w:rPr>
  </w:style>
  <w:style w:type="character" w:styleId="CommentReference">
    <w:name w:val="annotation reference"/>
    <w:basedOn w:val="DefaultParagraphFont"/>
    <w:uiPriority w:val="99"/>
    <w:semiHidden/>
    <w:unhideWhenUsed/>
    <w:rsid w:val="00B96FD8"/>
    <w:rPr>
      <w:sz w:val="16"/>
      <w:szCs w:val="16"/>
    </w:rPr>
  </w:style>
  <w:style w:type="paragraph" w:styleId="CommentText">
    <w:name w:val="annotation text"/>
    <w:basedOn w:val="Normal"/>
    <w:link w:val="CommentTextChar"/>
    <w:uiPriority w:val="99"/>
    <w:semiHidden/>
    <w:unhideWhenUsed/>
    <w:rsid w:val="00B96FD8"/>
    <w:rPr>
      <w:sz w:val="20"/>
      <w:szCs w:val="20"/>
    </w:rPr>
  </w:style>
  <w:style w:type="character" w:customStyle="1" w:styleId="CommentTextChar">
    <w:name w:val="Comment Text Char"/>
    <w:basedOn w:val="DefaultParagraphFont"/>
    <w:link w:val="CommentText"/>
    <w:uiPriority w:val="99"/>
    <w:semiHidden/>
    <w:rsid w:val="00B96FD8"/>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96FD8"/>
    <w:rPr>
      <w:b/>
      <w:bCs/>
    </w:rPr>
  </w:style>
  <w:style w:type="character" w:customStyle="1" w:styleId="CommentSubjectChar">
    <w:name w:val="Comment Subject Char"/>
    <w:basedOn w:val="CommentTextChar"/>
    <w:link w:val="CommentSubject"/>
    <w:uiPriority w:val="99"/>
    <w:semiHidden/>
    <w:rsid w:val="00B96FD8"/>
    <w:rPr>
      <w:rFonts w:ascii="Calibri" w:hAnsi="Calibri" w:cs="Calibri"/>
      <w:b/>
      <w:bCs/>
      <w:sz w:val="20"/>
      <w:szCs w:val="20"/>
    </w:rPr>
  </w:style>
  <w:style w:type="paragraph" w:styleId="Revision">
    <w:name w:val="Revision"/>
    <w:hidden/>
    <w:uiPriority w:val="99"/>
    <w:semiHidden/>
    <w:rsid w:val="00B96FD8"/>
    <w:pPr>
      <w:spacing w:after="0" w:line="240" w:lineRule="auto"/>
    </w:pPr>
    <w:rPr>
      <w:rFonts w:ascii="Calibri" w:hAnsi="Calibri" w:cs="Calibri"/>
    </w:rPr>
  </w:style>
  <w:style w:type="character" w:customStyle="1" w:styleId="Heading2Char">
    <w:name w:val="Heading 2 Char"/>
    <w:basedOn w:val="DefaultParagraphFont"/>
    <w:link w:val="Heading2"/>
    <w:uiPriority w:val="9"/>
    <w:rsid w:val="007A6C2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A6C22"/>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15F6F"/>
    <w:pPr>
      <w:tabs>
        <w:tab w:val="center" w:pos="4680"/>
        <w:tab w:val="right" w:pos="9360"/>
      </w:tabs>
    </w:pPr>
  </w:style>
  <w:style w:type="character" w:customStyle="1" w:styleId="HeaderChar">
    <w:name w:val="Header Char"/>
    <w:basedOn w:val="DefaultParagraphFont"/>
    <w:link w:val="Header"/>
    <w:uiPriority w:val="99"/>
    <w:rsid w:val="00815F6F"/>
    <w:rPr>
      <w:rFonts w:ascii="Calibri" w:hAnsi="Calibri" w:cs="Calibri"/>
    </w:rPr>
  </w:style>
  <w:style w:type="paragraph" w:styleId="Footer">
    <w:name w:val="footer"/>
    <w:basedOn w:val="Normal"/>
    <w:link w:val="FooterChar"/>
    <w:uiPriority w:val="99"/>
    <w:unhideWhenUsed/>
    <w:rsid w:val="00815F6F"/>
    <w:pPr>
      <w:tabs>
        <w:tab w:val="center" w:pos="4680"/>
        <w:tab w:val="right" w:pos="9360"/>
      </w:tabs>
    </w:pPr>
  </w:style>
  <w:style w:type="character" w:customStyle="1" w:styleId="FooterChar">
    <w:name w:val="Footer Char"/>
    <w:basedOn w:val="DefaultParagraphFont"/>
    <w:link w:val="Footer"/>
    <w:uiPriority w:val="99"/>
    <w:rsid w:val="00815F6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2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Levitt, Jordana Morgan</dc:creator>
  <cp:keywords/>
  <dc:description/>
  <cp:lastModifiedBy>Armistead, Lori Temples</cp:lastModifiedBy>
  <cp:revision>2</cp:revision>
  <dcterms:created xsi:type="dcterms:W3CDTF">2021-08-24T20:47:00Z</dcterms:created>
  <dcterms:modified xsi:type="dcterms:W3CDTF">2021-08-24T20:47:00Z</dcterms:modified>
</cp:coreProperties>
</file>